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F07" w:rsidRPr="00316F39" w:rsidRDefault="00D51F07" w:rsidP="00D51F07">
      <w:pPr>
        <w:keepNext/>
        <w:keepLines/>
        <w:spacing w:before="200" w:after="0" w:line="240" w:lineRule="auto"/>
        <w:outlineLvl w:val="1"/>
        <w:rPr>
          <w:rFonts w:ascii="Arial" w:eastAsiaTheme="majorEastAsia" w:hAnsi="Arial" w:cs="Arial"/>
          <w:b/>
          <w:bCs/>
          <w:color w:val="00AEEF"/>
          <w:sz w:val="36"/>
          <w:szCs w:val="28"/>
          <w:lang w:eastAsia="en-CA"/>
        </w:rPr>
      </w:pPr>
      <w:bookmarkStart w:id="0" w:name="_Toc390769269"/>
      <w:r w:rsidRPr="00316F39">
        <w:rPr>
          <w:rFonts w:ascii="Arial" w:eastAsiaTheme="majorEastAsia" w:hAnsi="Arial" w:cs="Arial"/>
          <w:b/>
          <w:bCs/>
          <w:color w:val="00AEEF"/>
          <w:sz w:val="36"/>
          <w:szCs w:val="28"/>
          <w:lang w:eastAsia="en-CA"/>
        </w:rPr>
        <w:t>MPA Checklist</w:t>
      </w:r>
      <w:bookmarkEnd w:id="0"/>
      <w:r w:rsidR="00654F32" w:rsidRPr="00316F39">
        <w:rPr>
          <w:rFonts w:ascii="Arial" w:eastAsiaTheme="majorEastAsia" w:hAnsi="Arial" w:cs="Arial"/>
          <w:b/>
          <w:bCs/>
          <w:color w:val="00AEEF"/>
          <w:sz w:val="36"/>
          <w:szCs w:val="28"/>
          <w:lang w:eastAsia="en-CA"/>
        </w:rPr>
        <w:t xml:space="preserve"> </w:t>
      </w:r>
      <w:r w:rsidR="00364064" w:rsidRPr="00316F39">
        <w:rPr>
          <w:rFonts w:ascii="Arial" w:eastAsiaTheme="majorEastAsia" w:hAnsi="Arial" w:cs="Arial"/>
          <w:b/>
          <w:bCs/>
          <w:color w:val="00AEEF"/>
          <w:sz w:val="36"/>
          <w:szCs w:val="28"/>
          <w:lang w:eastAsia="en-CA"/>
        </w:rPr>
        <w:t>Template</w:t>
      </w:r>
    </w:p>
    <w:p w:rsidR="00D51F07" w:rsidRPr="009523CB" w:rsidRDefault="00D51F07" w:rsidP="00D51F07">
      <w:pPr>
        <w:spacing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tbl>
      <w:tblPr>
        <w:tblW w:w="5000" w:type="pct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811"/>
        <w:gridCol w:w="88"/>
        <w:gridCol w:w="949"/>
        <w:gridCol w:w="32"/>
        <w:gridCol w:w="26"/>
        <w:gridCol w:w="979"/>
        <w:gridCol w:w="29"/>
        <w:gridCol w:w="33"/>
        <w:gridCol w:w="10"/>
        <w:gridCol w:w="967"/>
        <w:gridCol w:w="1508"/>
        <w:gridCol w:w="867"/>
        <w:gridCol w:w="50"/>
        <w:gridCol w:w="1333"/>
      </w:tblGrid>
      <w:tr w:rsidR="006435D6" w:rsidRPr="006435D6" w:rsidTr="00700B61">
        <w:trPr>
          <w:jc w:val="center"/>
        </w:trPr>
        <w:tc>
          <w:tcPr>
            <w:tcW w:w="10682" w:type="dxa"/>
            <w:gridSpan w:val="14"/>
            <w:shd w:val="clear" w:color="auto" w:fill="00AEEF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6435D6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Risk Monitoring</w:t>
            </w:r>
          </w:p>
        </w:tc>
      </w:tr>
      <w:tr w:rsidR="00700B61" w:rsidRPr="00700B61" w:rsidTr="00C11D0E">
        <w:trPr>
          <w:jc w:val="center"/>
        </w:trPr>
        <w:tc>
          <w:tcPr>
            <w:tcW w:w="3811" w:type="dxa"/>
            <w:vMerge w:val="restart"/>
            <w:shd w:val="clear" w:color="auto" w:fill="FFFFFF" w:themeFill="background1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 xml:space="preserve">MINIMUM PREPAREDNESS ACTIONS </w:t>
            </w:r>
          </w:p>
        </w:tc>
        <w:tc>
          <w:tcPr>
            <w:tcW w:w="3113" w:type="dxa"/>
            <w:gridSpan w:val="9"/>
            <w:shd w:val="clear" w:color="auto" w:fill="FFFFFF" w:themeFill="background1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STATUS</w:t>
            </w:r>
          </w:p>
        </w:tc>
        <w:tc>
          <w:tcPr>
            <w:tcW w:w="1508" w:type="dxa"/>
            <w:vMerge w:val="restart"/>
            <w:shd w:val="clear" w:color="auto" w:fill="FFFFFF" w:themeFill="background1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DUE DATE/</w:t>
            </w:r>
          </w:p>
          <w:p w:rsidR="00DE1AB0" w:rsidRPr="00700B61" w:rsidRDefault="006435D6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TIMEFRAME</w:t>
            </w:r>
          </w:p>
        </w:tc>
        <w:tc>
          <w:tcPr>
            <w:tcW w:w="917" w:type="dxa"/>
            <w:gridSpan w:val="2"/>
            <w:vMerge w:val="restart"/>
            <w:shd w:val="clear" w:color="auto" w:fill="FFFFFF" w:themeFill="background1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LEAD</w:t>
            </w:r>
          </w:p>
        </w:tc>
        <w:tc>
          <w:tcPr>
            <w:tcW w:w="1333" w:type="dxa"/>
            <w:vMerge w:val="restart"/>
            <w:shd w:val="clear" w:color="auto" w:fill="FFFFFF" w:themeFill="background1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ACTIONS TAKEN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vMerge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037" w:type="dxa"/>
            <w:gridSpan w:val="2"/>
            <w:shd w:val="clear" w:color="auto" w:fill="00B050"/>
            <w:vAlign w:val="center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DONE</w:t>
            </w:r>
          </w:p>
        </w:tc>
        <w:tc>
          <w:tcPr>
            <w:tcW w:w="1037" w:type="dxa"/>
            <w:gridSpan w:val="3"/>
            <w:shd w:val="clear" w:color="auto" w:fill="FFC000"/>
            <w:vAlign w:val="center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DEADLINE SET</w:t>
            </w:r>
          </w:p>
        </w:tc>
        <w:tc>
          <w:tcPr>
            <w:tcW w:w="1039" w:type="dxa"/>
            <w:gridSpan w:val="4"/>
            <w:shd w:val="clear" w:color="auto" w:fill="FF0000"/>
            <w:vAlign w:val="center"/>
          </w:tcPr>
          <w:p w:rsidR="00DE1AB0" w:rsidRPr="00700B61" w:rsidRDefault="006435D6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TO BE INITIATED</w:t>
            </w:r>
          </w:p>
        </w:tc>
        <w:tc>
          <w:tcPr>
            <w:tcW w:w="1508" w:type="dxa"/>
            <w:vMerge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vMerge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vMerge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3853A3" w:rsidRPr="00700B61" w:rsidTr="00AF04F2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3853A3" w:rsidRPr="00700B61" w:rsidRDefault="003853A3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Risk Monitoring Mechanism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FFFFFF" w:themeFill="background1"/>
          </w:tcPr>
          <w:p w:rsidR="00DE1AB0" w:rsidRDefault="00DE1AB0" w:rsidP="00700B61">
            <w:pPr>
              <w:numPr>
                <w:ilvl w:val="0"/>
                <w:numId w:val="3"/>
              </w:numPr>
              <w:spacing w:before="120" w:line="240" w:lineRule="auto"/>
              <w:ind w:left="357" w:hanging="357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 xml:space="preserve">Appoint Risk Monitoring Focal Points </w:t>
            </w:r>
          </w:p>
          <w:p w:rsidR="00700B61" w:rsidRPr="006435D6" w:rsidRDefault="00700B61" w:rsidP="00700B61">
            <w:pPr>
              <w:spacing w:before="120" w:line="240" w:lineRule="auto"/>
              <w:ind w:left="357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</w:p>
          <w:p w:rsidR="00700B61" w:rsidRDefault="00DE1AB0" w:rsidP="00700B61">
            <w:pPr>
              <w:numPr>
                <w:ilvl w:val="0"/>
                <w:numId w:val="3"/>
              </w:numPr>
              <w:spacing w:before="120" w:after="0" w:line="240" w:lineRule="auto"/>
              <w:ind w:left="357" w:hanging="357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 xml:space="preserve">Establish EW monitoring and analysis system, including action dates for seasonal hazards </w:t>
            </w:r>
          </w:p>
          <w:p w:rsidR="00700B61" w:rsidRPr="00700B61" w:rsidRDefault="00700B61" w:rsidP="00700B61">
            <w:pPr>
              <w:spacing w:before="120"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</w:p>
          <w:p w:rsidR="00DE1AB0" w:rsidRPr="006435D6" w:rsidRDefault="00DE1AB0" w:rsidP="00700B61">
            <w:pPr>
              <w:numPr>
                <w:ilvl w:val="0"/>
                <w:numId w:val="3"/>
              </w:numPr>
              <w:spacing w:before="120" w:after="0" w:line="240" w:lineRule="auto"/>
              <w:ind w:left="357" w:hanging="357"/>
              <w:contextualSpacing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Establish situation analysis (baseline), including gender analysis to identify underlying inequalities and vulnerabilities influencing risk susceptibility of the women and men and their communities</w:t>
            </w:r>
          </w:p>
          <w:p w:rsidR="00700B61" w:rsidRDefault="00700B61" w:rsidP="00700B61">
            <w:pPr>
              <w:spacing w:before="120" w:after="0" w:line="240" w:lineRule="auto"/>
              <w:ind w:left="357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</w:p>
          <w:p w:rsidR="00DE1AB0" w:rsidRPr="00700B61" w:rsidRDefault="00DE1AB0" w:rsidP="00C65E1B">
            <w:pPr>
              <w:numPr>
                <w:ilvl w:val="0"/>
                <w:numId w:val="3"/>
              </w:numPr>
              <w:spacing w:before="120" w:after="0" w:line="240" w:lineRule="auto"/>
              <w:ind w:left="357" w:hanging="357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Ensure evolving risk discussion is a standing item on the HCT agenda</w:t>
            </w:r>
          </w:p>
        </w:tc>
        <w:tc>
          <w:tcPr>
            <w:tcW w:w="3113" w:type="dxa"/>
            <w:gridSpan w:val="9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bookmarkStart w:id="1" w:name="_GoBack"/>
            <w:bookmarkEnd w:id="1"/>
          </w:p>
        </w:tc>
        <w:tc>
          <w:tcPr>
            <w:tcW w:w="1508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00AEEF"/>
          </w:tcPr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en-GB"/>
              </w:rPr>
              <w:t>Coordination &amp; Management Arrangements</w:t>
            </w:r>
          </w:p>
        </w:tc>
      </w:tr>
      <w:tr w:rsidR="00700B61" w:rsidRPr="00700B61" w:rsidTr="00C11D0E">
        <w:trPr>
          <w:jc w:val="center"/>
        </w:trPr>
        <w:tc>
          <w:tcPr>
            <w:tcW w:w="3899" w:type="dxa"/>
            <w:gridSpan w:val="2"/>
            <w:vMerge w:val="restart"/>
            <w:shd w:val="clear" w:color="auto" w:fill="auto"/>
            <w:hideMark/>
          </w:tcPr>
          <w:p w:rsidR="00DE1AB0" w:rsidRPr="00700B61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 xml:space="preserve">MINIMUM PREPAREDNESS ACTIONS </w:t>
            </w:r>
          </w:p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00AEEF"/>
                <w:sz w:val="16"/>
                <w:szCs w:val="18"/>
                <w:lang w:eastAsia="en-GB"/>
              </w:rPr>
            </w:pPr>
          </w:p>
        </w:tc>
        <w:tc>
          <w:tcPr>
            <w:tcW w:w="3025" w:type="dxa"/>
            <w:gridSpan w:val="8"/>
            <w:shd w:val="clear" w:color="auto" w:fill="auto"/>
            <w:hideMark/>
          </w:tcPr>
          <w:p w:rsidR="00DE1AB0" w:rsidRPr="00700B61" w:rsidRDefault="00700B61" w:rsidP="006435D6">
            <w:pPr>
              <w:spacing w:after="0" w:line="240" w:lineRule="auto"/>
              <w:rPr>
                <w:rFonts w:ascii="Arial" w:eastAsia="Times New Roman" w:hAnsi="Arial" w:cs="Arial"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STATUS</w:t>
            </w:r>
          </w:p>
        </w:tc>
        <w:tc>
          <w:tcPr>
            <w:tcW w:w="1508" w:type="dxa"/>
            <w:vMerge w:val="restart"/>
            <w:shd w:val="clear" w:color="auto" w:fill="auto"/>
            <w:hideMark/>
          </w:tcPr>
          <w:p w:rsidR="00DE1AB0" w:rsidRPr="00700B61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DUE DATE/</w:t>
            </w:r>
          </w:p>
          <w:p w:rsidR="00DE1AB0" w:rsidRPr="00700B61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TIMEFRAME</w:t>
            </w:r>
          </w:p>
        </w:tc>
        <w:tc>
          <w:tcPr>
            <w:tcW w:w="917" w:type="dxa"/>
            <w:gridSpan w:val="2"/>
            <w:vMerge w:val="restart"/>
            <w:shd w:val="clear" w:color="auto" w:fill="auto"/>
            <w:hideMark/>
          </w:tcPr>
          <w:p w:rsidR="00DE1AB0" w:rsidRPr="00700B61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LEAD</w:t>
            </w:r>
          </w:p>
        </w:tc>
        <w:tc>
          <w:tcPr>
            <w:tcW w:w="1333" w:type="dxa"/>
            <w:vMerge w:val="restart"/>
            <w:shd w:val="clear" w:color="auto" w:fill="auto"/>
            <w:hideMark/>
          </w:tcPr>
          <w:p w:rsidR="00DE1AB0" w:rsidRPr="00700B61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ACTIONS TAKEN</w:t>
            </w:r>
          </w:p>
        </w:tc>
      </w:tr>
      <w:tr w:rsidR="00700B61" w:rsidRPr="006435D6" w:rsidTr="00C11D0E">
        <w:trPr>
          <w:jc w:val="center"/>
        </w:trPr>
        <w:tc>
          <w:tcPr>
            <w:tcW w:w="3899" w:type="dxa"/>
            <w:gridSpan w:val="2"/>
            <w:vMerge/>
            <w:shd w:val="clear" w:color="auto" w:fill="C6D9F1" w:themeFill="text2" w:themeFillTint="33"/>
          </w:tcPr>
          <w:p w:rsidR="00700B61" w:rsidRPr="006435D6" w:rsidRDefault="00700B61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007" w:type="dxa"/>
            <w:gridSpan w:val="3"/>
            <w:shd w:val="clear" w:color="auto" w:fill="00B050"/>
            <w:vAlign w:val="center"/>
          </w:tcPr>
          <w:p w:rsidR="00700B61" w:rsidRPr="00700B61" w:rsidRDefault="00700B61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DONE</w:t>
            </w:r>
          </w:p>
        </w:tc>
        <w:tc>
          <w:tcPr>
            <w:tcW w:w="1008" w:type="dxa"/>
            <w:gridSpan w:val="2"/>
            <w:shd w:val="clear" w:color="auto" w:fill="FFC000"/>
            <w:vAlign w:val="center"/>
          </w:tcPr>
          <w:p w:rsidR="00700B61" w:rsidRPr="00700B61" w:rsidRDefault="00700B61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DEADLINE SET</w:t>
            </w:r>
          </w:p>
        </w:tc>
        <w:tc>
          <w:tcPr>
            <w:tcW w:w="1010" w:type="dxa"/>
            <w:gridSpan w:val="3"/>
            <w:shd w:val="clear" w:color="auto" w:fill="FF0000"/>
            <w:vAlign w:val="center"/>
          </w:tcPr>
          <w:p w:rsidR="00700B61" w:rsidRPr="00700B61" w:rsidRDefault="00700B61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TO BE INITIATED</w:t>
            </w:r>
          </w:p>
        </w:tc>
        <w:tc>
          <w:tcPr>
            <w:tcW w:w="1508" w:type="dxa"/>
            <w:vMerge/>
            <w:shd w:val="clear" w:color="auto" w:fill="C6D9F1" w:themeFill="text2" w:themeFillTint="33"/>
          </w:tcPr>
          <w:p w:rsidR="00700B61" w:rsidRPr="006435D6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vMerge/>
            <w:shd w:val="clear" w:color="auto" w:fill="C6D9F1" w:themeFill="text2" w:themeFillTint="33"/>
          </w:tcPr>
          <w:p w:rsidR="00700B61" w:rsidRPr="006435D6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vMerge/>
            <w:shd w:val="clear" w:color="auto" w:fill="C6D9F1" w:themeFill="text2" w:themeFillTint="33"/>
          </w:tcPr>
          <w:p w:rsidR="00700B61" w:rsidRPr="006435D6" w:rsidRDefault="00700B61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Basic Guidance</w:t>
            </w:r>
          </w:p>
        </w:tc>
      </w:tr>
      <w:tr w:rsidR="006435D6" w:rsidRPr="006435D6" w:rsidTr="00C11D0E">
        <w:trPr>
          <w:jc w:val="center"/>
        </w:trPr>
        <w:tc>
          <w:tcPr>
            <w:tcW w:w="3899" w:type="dxa"/>
            <w:gridSpan w:val="2"/>
            <w:shd w:val="clear" w:color="auto" w:fill="auto"/>
            <w:hideMark/>
          </w:tcPr>
          <w:p w:rsidR="00DE1AB0" w:rsidRPr="006435D6" w:rsidRDefault="00DE1AB0" w:rsidP="006435D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Familiarize humanitarian partners, government, and other key partners with the following:</w:t>
            </w:r>
          </w:p>
          <w:p w:rsidR="00DE1AB0" w:rsidRPr="00700B61" w:rsidRDefault="00DE1AB0" w:rsidP="008A3436">
            <w:pPr>
              <w:numPr>
                <w:ilvl w:val="1"/>
                <w:numId w:val="11"/>
              </w:num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 xml:space="preserve">Humanitarian principles, humanitarian architecture and </w:t>
            </w: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international response tools</w:t>
            </w:r>
          </w:p>
        </w:tc>
        <w:tc>
          <w:tcPr>
            <w:tcW w:w="3025" w:type="dxa"/>
            <w:gridSpan w:val="8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ind w:left="108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HCT</w:t>
            </w:r>
          </w:p>
        </w:tc>
      </w:tr>
      <w:tr w:rsidR="006435D6" w:rsidRPr="006435D6" w:rsidTr="00C11D0E">
        <w:trPr>
          <w:jc w:val="center"/>
        </w:trPr>
        <w:tc>
          <w:tcPr>
            <w:tcW w:w="3899" w:type="dxa"/>
            <w:gridSpan w:val="2"/>
            <w:shd w:val="clear" w:color="auto" w:fill="auto"/>
          </w:tcPr>
          <w:p w:rsidR="00DE1AB0" w:rsidRPr="00700B61" w:rsidRDefault="00DE1AB0" w:rsidP="006435D6">
            <w:pPr>
              <w:numPr>
                <w:ilvl w:val="0"/>
                <w:numId w:val="1"/>
              </w:num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Establish an inclusive Humanitarian Country Team (HCT) including the participation of NGOs and Red Cross/Crescent. </w:t>
            </w:r>
          </w:p>
        </w:tc>
        <w:tc>
          <w:tcPr>
            <w:tcW w:w="3025" w:type="dxa"/>
            <w:gridSpan w:val="8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 xml:space="preserve">Government (incl. </w:t>
            </w:r>
            <w:proofErr w:type="spellStart"/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Civ</w:t>
            </w:r>
            <w:proofErr w:type="spellEnd"/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/Mil)</w:t>
            </w:r>
          </w:p>
        </w:tc>
      </w:tr>
      <w:tr w:rsidR="006435D6" w:rsidRPr="006435D6" w:rsidTr="00C11D0E">
        <w:trPr>
          <w:jc w:val="center"/>
        </w:trPr>
        <w:tc>
          <w:tcPr>
            <w:tcW w:w="3899" w:type="dxa"/>
            <w:gridSpan w:val="2"/>
            <w:shd w:val="clear" w:color="auto" w:fill="auto"/>
          </w:tcPr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Ensure that clear procedures/protocols are in place between the HCT and the Government for requesting/accepting international assistance.</w:t>
            </w:r>
          </w:p>
          <w:p w:rsidR="00DE1AB0" w:rsidRPr="006435D6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Ensure that all humanitarian agencies are aware of the respective Government coordination structures for emergency response </w:t>
            </w:r>
          </w:p>
          <w:p w:rsidR="00DE1AB0" w:rsidRPr="006435D6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Clarify if the government intends to use military assets in emergencies and establish clear protocols for cooperation/coordination. </w:t>
            </w:r>
          </w:p>
          <w:p w:rsidR="00DE1AB0" w:rsidRPr="006435D6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700B61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Ensure that requirements such as custom clearances, visas, and access to affected populations are established and clear to all relevant stakeholders. </w:t>
            </w:r>
          </w:p>
        </w:tc>
        <w:tc>
          <w:tcPr>
            <w:tcW w:w="3025" w:type="dxa"/>
            <w:gridSpan w:val="8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lastRenderedPageBreak/>
              <w:t>NGOs/Civil Society</w:t>
            </w:r>
          </w:p>
        </w:tc>
      </w:tr>
      <w:tr w:rsidR="006435D6" w:rsidRPr="006435D6" w:rsidTr="00C11D0E">
        <w:trPr>
          <w:jc w:val="center"/>
        </w:trPr>
        <w:tc>
          <w:tcPr>
            <w:tcW w:w="3899" w:type="dxa"/>
            <w:gridSpan w:val="2"/>
            <w:shd w:val="clear" w:color="auto" w:fill="auto"/>
            <w:hideMark/>
          </w:tcPr>
          <w:p w:rsidR="00DE1AB0" w:rsidRPr="00700B61" w:rsidRDefault="00DE1AB0" w:rsidP="00700B61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Establish a proper and functioning communication system with local NGOs and civil society,</w:t>
            </w: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 including women’s organisations,</w:t>
            </w: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 to ensure the timely flow of information before and during an emergency. </w:t>
            </w:r>
          </w:p>
        </w:tc>
        <w:tc>
          <w:tcPr>
            <w:tcW w:w="3025" w:type="dxa"/>
            <w:gridSpan w:val="8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700B61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Donors</w:t>
            </w:r>
          </w:p>
        </w:tc>
      </w:tr>
      <w:tr w:rsidR="006435D6" w:rsidRPr="006435D6" w:rsidTr="00C11D0E">
        <w:trPr>
          <w:jc w:val="center"/>
        </w:trPr>
        <w:tc>
          <w:tcPr>
            <w:tcW w:w="3899" w:type="dxa"/>
            <w:gridSpan w:val="2"/>
            <w:shd w:val="clear" w:color="auto" w:fill="auto"/>
          </w:tcPr>
          <w:p w:rsidR="00DE1AB0" w:rsidRPr="00700B61" w:rsidRDefault="00DE1AB0" w:rsidP="00700B61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Compile a list of contacts for in-country donors and technical focal points to be contacted.</w:t>
            </w:r>
          </w:p>
        </w:tc>
        <w:tc>
          <w:tcPr>
            <w:tcW w:w="3025" w:type="dxa"/>
            <w:gridSpan w:val="8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700B61" w:rsidRPr="00700B61" w:rsidTr="00700B61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700B61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700B61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Public Communication &amp; Advocacy</w:t>
            </w:r>
          </w:p>
        </w:tc>
      </w:tr>
      <w:tr w:rsidR="006435D6" w:rsidRPr="006435D6" w:rsidTr="00C11D0E">
        <w:trPr>
          <w:jc w:val="center"/>
        </w:trPr>
        <w:tc>
          <w:tcPr>
            <w:tcW w:w="3899" w:type="dxa"/>
            <w:gridSpan w:val="2"/>
            <w:shd w:val="clear" w:color="auto" w:fill="auto"/>
          </w:tcPr>
          <w:p w:rsidR="00DE1AB0" w:rsidRPr="006435D6" w:rsidRDefault="00DE1AB0" w:rsidP="006435D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Identify and familiarise PI Focal Points with the IASC guidance on Public Information.</w:t>
            </w:r>
          </w:p>
        </w:tc>
        <w:tc>
          <w:tcPr>
            <w:tcW w:w="3025" w:type="dxa"/>
            <w:gridSpan w:val="8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917" w:type="dxa"/>
            <w:gridSpan w:val="2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33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00AEEF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en-GB"/>
              </w:rPr>
              <w:t>Needs Assessment/Information Management/Response Monitoring</w:t>
            </w:r>
          </w:p>
        </w:tc>
      </w:tr>
      <w:tr w:rsidR="00C11D0E" w:rsidRPr="006435D6" w:rsidTr="00C11D0E">
        <w:trPr>
          <w:jc w:val="center"/>
        </w:trPr>
        <w:tc>
          <w:tcPr>
            <w:tcW w:w="3811" w:type="dxa"/>
            <w:vMerge w:val="restart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 xml:space="preserve">MINIMUM PREPAREDNESS ACTIONS </w:t>
            </w:r>
          </w:p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color w:val="00AEEF"/>
                <w:sz w:val="16"/>
                <w:szCs w:val="18"/>
                <w:lang w:eastAsia="en-GB"/>
              </w:rPr>
            </w:pPr>
          </w:p>
        </w:tc>
        <w:tc>
          <w:tcPr>
            <w:tcW w:w="3113" w:type="dxa"/>
            <w:gridSpan w:val="9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STATUS</w:t>
            </w:r>
          </w:p>
        </w:tc>
        <w:tc>
          <w:tcPr>
            <w:tcW w:w="1508" w:type="dxa"/>
            <w:vMerge w:val="restart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DUE DATE/</w:t>
            </w:r>
          </w:p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TIMEFRAME</w:t>
            </w:r>
          </w:p>
        </w:tc>
        <w:tc>
          <w:tcPr>
            <w:tcW w:w="867" w:type="dxa"/>
            <w:vMerge w:val="restart"/>
            <w:shd w:val="clear" w:color="auto" w:fill="FFFFFF" w:themeFill="background1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LEAD</w:t>
            </w:r>
          </w:p>
        </w:tc>
        <w:tc>
          <w:tcPr>
            <w:tcW w:w="1383" w:type="dxa"/>
            <w:gridSpan w:val="2"/>
            <w:vMerge w:val="restart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ACTIONS TAKEN</w:t>
            </w:r>
          </w:p>
        </w:tc>
      </w:tr>
      <w:tr w:rsidR="00C11D0E" w:rsidRPr="006435D6" w:rsidTr="00C11D0E">
        <w:trPr>
          <w:jc w:val="center"/>
        </w:trPr>
        <w:tc>
          <w:tcPr>
            <w:tcW w:w="3811" w:type="dxa"/>
            <w:vMerge/>
            <w:shd w:val="clear" w:color="auto" w:fill="auto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069" w:type="dxa"/>
            <w:gridSpan w:val="3"/>
            <w:shd w:val="clear" w:color="auto" w:fill="00B050"/>
            <w:vAlign w:val="center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DONE</w:t>
            </w:r>
          </w:p>
        </w:tc>
        <w:tc>
          <w:tcPr>
            <w:tcW w:w="1077" w:type="dxa"/>
            <w:gridSpan w:val="5"/>
            <w:shd w:val="clear" w:color="auto" w:fill="FFC000"/>
            <w:vAlign w:val="center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DEADLINE SET</w:t>
            </w:r>
          </w:p>
        </w:tc>
        <w:tc>
          <w:tcPr>
            <w:tcW w:w="967" w:type="dxa"/>
            <w:shd w:val="clear" w:color="auto" w:fill="FF0000"/>
            <w:vAlign w:val="center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TO BE INITIATED</w:t>
            </w:r>
          </w:p>
        </w:tc>
        <w:tc>
          <w:tcPr>
            <w:tcW w:w="1508" w:type="dxa"/>
            <w:vMerge/>
            <w:shd w:val="clear" w:color="auto" w:fill="auto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vMerge/>
            <w:shd w:val="clear" w:color="auto" w:fill="FFFFFF" w:themeFill="background1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vMerge/>
            <w:shd w:val="clear" w:color="auto" w:fill="auto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CA"/>
              </w:rPr>
              <w:t>Assessments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  <w:hideMark/>
          </w:tcPr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Ensure humanitarian and government partners are familiar with the IASC operational guidance on needs assessments.</w:t>
            </w: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</w:p>
          <w:p w:rsidR="00DE1AB0" w:rsidRPr="00C11D0E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Harmonise assessment methodologies, reporting requirements, tools and templates including</w:t>
            </w: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 sex and age disaggregated data and gender-responsive information</w:t>
            </w:r>
          </w:p>
        </w:tc>
        <w:tc>
          <w:tcPr>
            <w:tcW w:w="3113" w:type="dxa"/>
            <w:gridSpan w:val="9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6435D6" w:rsidRPr="006435D6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CA"/>
              </w:rPr>
              <w:t>Information Management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</w:tcPr>
          <w:p w:rsidR="00DE1AB0" w:rsidRPr="006435D6" w:rsidRDefault="00DE1AB0" w:rsidP="006435D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Familiarise humanitarian partners with the IASC operational guidance on emergency Information Management.</w:t>
            </w: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</w:p>
          <w:p w:rsidR="00DE1AB0" w:rsidRPr="00C11D0E" w:rsidRDefault="00DE1AB0" w:rsidP="006435D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Develop common date preparedness sets</w:t>
            </w: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 xml:space="preserve"> (CODs) and fundamental operational data (FODs),</w:t>
            </w: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including</w:t>
            </w: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 sex and age disaggregated data and gender-responsive information</w:t>
            </w:r>
          </w:p>
        </w:tc>
        <w:tc>
          <w:tcPr>
            <w:tcW w:w="3113" w:type="dxa"/>
            <w:gridSpan w:val="9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CA"/>
              </w:rPr>
              <w:t>Response Monitoring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</w:tcPr>
          <w:p w:rsidR="00DE1AB0" w:rsidRPr="00C11D0E" w:rsidRDefault="00DE1AB0" w:rsidP="00C11D0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Ensure humanitarian partners are familiar with the IASC guidance on response monitoring</w:t>
            </w:r>
          </w:p>
        </w:tc>
        <w:tc>
          <w:tcPr>
            <w:tcW w:w="3113" w:type="dxa"/>
            <w:gridSpan w:val="9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00AEEF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FFFFFF" w:themeColor="background1"/>
                <w:sz w:val="18"/>
                <w:szCs w:val="18"/>
                <w:lang w:eastAsia="en-GB"/>
              </w:rPr>
              <w:t>Operational Capacity and Arrangements to Deliver Relief and Protection</w:t>
            </w:r>
          </w:p>
        </w:tc>
      </w:tr>
      <w:tr w:rsidR="00C11D0E" w:rsidRPr="006435D6" w:rsidTr="00C11D0E">
        <w:trPr>
          <w:jc w:val="center"/>
        </w:trPr>
        <w:tc>
          <w:tcPr>
            <w:tcW w:w="3811" w:type="dxa"/>
            <w:vMerge w:val="restart"/>
            <w:shd w:val="clear" w:color="auto" w:fill="auto"/>
          </w:tcPr>
          <w:p w:rsidR="00C11D0E" w:rsidRPr="00C11D0E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 xml:space="preserve">MINIMUM PREPAREDNESS ACTIONS </w:t>
            </w:r>
          </w:p>
        </w:tc>
        <w:tc>
          <w:tcPr>
            <w:tcW w:w="3113" w:type="dxa"/>
            <w:gridSpan w:val="9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STATUS</w:t>
            </w:r>
          </w:p>
        </w:tc>
        <w:tc>
          <w:tcPr>
            <w:tcW w:w="1508" w:type="dxa"/>
            <w:vMerge w:val="restart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DUE DATE/</w:t>
            </w:r>
          </w:p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TIMEFRAME</w:t>
            </w:r>
          </w:p>
        </w:tc>
        <w:tc>
          <w:tcPr>
            <w:tcW w:w="867" w:type="dxa"/>
            <w:vMerge w:val="restart"/>
            <w:shd w:val="clear" w:color="auto" w:fill="FFFFFF" w:themeFill="background1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LEAD</w:t>
            </w:r>
          </w:p>
        </w:tc>
        <w:tc>
          <w:tcPr>
            <w:tcW w:w="1383" w:type="dxa"/>
            <w:gridSpan w:val="2"/>
            <w:vMerge w:val="restart"/>
            <w:shd w:val="clear" w:color="auto" w:fill="auto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00AEEF"/>
                <w:sz w:val="16"/>
                <w:szCs w:val="18"/>
                <w:lang w:eastAsia="en-GB"/>
              </w:rPr>
              <w:t>ACTIONS TAKEN</w:t>
            </w:r>
          </w:p>
        </w:tc>
      </w:tr>
      <w:tr w:rsidR="00C11D0E" w:rsidRPr="006435D6" w:rsidTr="00C11D0E">
        <w:trPr>
          <w:jc w:val="center"/>
        </w:trPr>
        <w:tc>
          <w:tcPr>
            <w:tcW w:w="3811" w:type="dxa"/>
            <w:vMerge/>
            <w:shd w:val="clear" w:color="auto" w:fill="auto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095" w:type="dxa"/>
            <w:gridSpan w:val="4"/>
            <w:shd w:val="clear" w:color="auto" w:fill="00B050"/>
            <w:vAlign w:val="center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DONE</w:t>
            </w:r>
          </w:p>
        </w:tc>
        <w:tc>
          <w:tcPr>
            <w:tcW w:w="1041" w:type="dxa"/>
            <w:gridSpan w:val="3"/>
            <w:shd w:val="clear" w:color="auto" w:fill="FFC000"/>
            <w:vAlign w:val="center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DEADLINE SET</w:t>
            </w:r>
          </w:p>
        </w:tc>
        <w:tc>
          <w:tcPr>
            <w:tcW w:w="977" w:type="dxa"/>
            <w:gridSpan w:val="2"/>
            <w:shd w:val="clear" w:color="auto" w:fill="FF0000"/>
            <w:vAlign w:val="center"/>
          </w:tcPr>
          <w:p w:rsidR="00C11D0E" w:rsidRPr="00700B61" w:rsidRDefault="00C11D0E" w:rsidP="00AF04F2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14"/>
                <w:szCs w:val="18"/>
                <w:lang w:eastAsia="en-GB"/>
              </w:rPr>
            </w:pPr>
            <w:r w:rsidRPr="00700B61">
              <w:rPr>
                <w:rFonts w:ascii="Arial" w:eastAsiaTheme="minorEastAsia" w:hAnsi="Arial" w:cs="Arial"/>
                <w:b/>
                <w:color w:val="FFFFFF" w:themeColor="background1"/>
                <w:sz w:val="14"/>
                <w:szCs w:val="18"/>
                <w:lang w:eastAsia="en-GB"/>
              </w:rPr>
              <w:t>TO BE INITIATED</w:t>
            </w:r>
          </w:p>
        </w:tc>
        <w:tc>
          <w:tcPr>
            <w:tcW w:w="1508" w:type="dxa"/>
            <w:vMerge/>
            <w:shd w:val="clear" w:color="auto" w:fill="auto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vMerge/>
            <w:shd w:val="clear" w:color="auto" w:fill="FFFFFF" w:themeFill="background1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vMerge/>
            <w:shd w:val="clear" w:color="auto" w:fill="auto"/>
          </w:tcPr>
          <w:p w:rsidR="00C11D0E" w:rsidRPr="006435D6" w:rsidRDefault="00C11D0E" w:rsidP="006435D6">
            <w:pPr>
              <w:spacing w:after="0" w:line="240" w:lineRule="auto"/>
              <w:rPr>
                <w:rFonts w:ascii="Arial" w:eastAsiaTheme="minorEastAsia" w:hAnsi="Arial" w:cs="Arial"/>
                <w:b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Operational Principles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  <w:hideMark/>
          </w:tcPr>
          <w:p w:rsidR="00DE1AB0" w:rsidRPr="006435D6" w:rsidRDefault="00DE1AB0" w:rsidP="006435D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Ensure that sector/cluster partners are familiar with the following;</w:t>
            </w:r>
          </w:p>
          <w:p w:rsidR="00DE1AB0" w:rsidRPr="006435D6" w:rsidRDefault="00DE1AB0" w:rsidP="008A3436">
            <w:pPr>
              <w:numPr>
                <w:ilvl w:val="1"/>
                <w:numId w:val="10"/>
              </w:num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The centrality of protection</w:t>
            </w:r>
          </w:p>
          <w:p w:rsidR="00DE1AB0" w:rsidRPr="006435D6" w:rsidRDefault="00DE1AB0" w:rsidP="008A3436">
            <w:pPr>
              <w:numPr>
                <w:ilvl w:val="1"/>
                <w:numId w:val="10"/>
              </w:num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Relevant sector/cluster procedures and standards</w:t>
            </w:r>
          </w:p>
          <w:p w:rsidR="00DE1AB0" w:rsidRPr="006435D6" w:rsidRDefault="00DE1AB0" w:rsidP="008A3436">
            <w:pPr>
              <w:numPr>
                <w:ilvl w:val="1"/>
                <w:numId w:val="10"/>
              </w:numPr>
              <w:spacing w:after="0" w:line="240" w:lineRule="auto"/>
              <w:ind w:left="709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lastRenderedPageBreak/>
              <w:t>Guidance on Accountability to Affected Populations (AAP) and Communicating with affected Communities (</w:t>
            </w:r>
            <w:proofErr w:type="spellStart"/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CwC</w:t>
            </w:r>
            <w:proofErr w:type="spellEnd"/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>)</w:t>
            </w:r>
          </w:p>
          <w:p w:rsidR="00DE1AB0" w:rsidRPr="00C11D0E" w:rsidRDefault="00DE1AB0" w:rsidP="008A3436">
            <w:pPr>
              <w:numPr>
                <w:ilvl w:val="1"/>
                <w:numId w:val="10"/>
              </w:numPr>
              <w:spacing w:after="0" w:line="240" w:lineRule="auto"/>
              <w:ind w:left="709"/>
              <w:contextualSpacing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IASC Gender Equality Policy Statement 2008 and Gender Handbook</w:t>
            </w:r>
          </w:p>
        </w:tc>
        <w:tc>
          <w:tcPr>
            <w:tcW w:w="3113" w:type="dxa"/>
            <w:gridSpan w:val="9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  <w:hideMark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383" w:type="dxa"/>
            <w:gridSpan w:val="2"/>
            <w:shd w:val="clear" w:color="auto" w:fill="auto"/>
            <w:hideMark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CA"/>
              </w:rPr>
              <w:lastRenderedPageBreak/>
              <w:t>Partners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</w:tcPr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Establish an inclusive sector/cluster groups including the participation of NGOs and Red Cross/Crescent. </w:t>
            </w:r>
          </w:p>
          <w:p w:rsidR="00DE1AB0" w:rsidRPr="006435D6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Identify and map the respective response capacities of sector/cluster partners, including government. </w:t>
            </w:r>
          </w:p>
          <w:p w:rsidR="00DE1AB0" w:rsidRPr="006435D6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Establish a proper and functioning communication protocol with the relevant government sector counterpart</w:t>
            </w:r>
          </w:p>
          <w:p w:rsidR="00DE1AB0" w:rsidRPr="006435D6" w:rsidRDefault="00DE1AB0" w:rsidP="006435D6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C11D0E" w:rsidRDefault="00DE1AB0" w:rsidP="006435D6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Initiate discussions with potential private sector partners on what kind of contribution could they provide in a humanitarian response.</w:t>
            </w:r>
          </w:p>
        </w:tc>
        <w:tc>
          <w:tcPr>
            <w:tcW w:w="3113" w:type="dxa"/>
            <w:gridSpan w:val="9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C11D0E" w:rsidRPr="00C11D0E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Humanitarian Assistance Services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</w:tcPr>
          <w:p w:rsidR="00DE1AB0" w:rsidRPr="006435D6" w:rsidRDefault="00DE1AB0" w:rsidP="006435D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Identify what a basic relief assistance package might consist of, </w:t>
            </w: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  <w:lang w:eastAsia="en-GB"/>
              </w:rPr>
              <w:t>taking into account cultural practises, gender considerations and climatic conditions.</w:t>
            </w:r>
          </w:p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CA"/>
              </w:rPr>
              <w:t xml:space="preserve">Evaluate the feasibility of using cash and voucher programmes during the emergency response phase </w:t>
            </w:r>
            <w:r w:rsidRPr="006435D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(with due consideration to gender issues and implications).</w:t>
            </w:r>
          </w:p>
        </w:tc>
        <w:tc>
          <w:tcPr>
            <w:tcW w:w="3113" w:type="dxa"/>
            <w:gridSpan w:val="9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  <w:tr w:rsidR="006435D6" w:rsidRPr="006435D6" w:rsidTr="00C11D0E">
        <w:trPr>
          <w:jc w:val="center"/>
        </w:trPr>
        <w:tc>
          <w:tcPr>
            <w:tcW w:w="10682" w:type="dxa"/>
            <w:gridSpan w:val="14"/>
            <w:shd w:val="clear" w:color="auto" w:fill="BFEBFB"/>
          </w:tcPr>
          <w:p w:rsidR="00DE1AB0" w:rsidRPr="00C11D0E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</w:pPr>
            <w:r w:rsidRPr="00C11D0E">
              <w:rPr>
                <w:rFonts w:ascii="Arial" w:eastAsia="Times New Roman" w:hAnsi="Arial" w:cs="Arial"/>
                <w:b/>
                <w:color w:val="00AEEF"/>
                <w:sz w:val="18"/>
                <w:szCs w:val="18"/>
                <w:lang w:eastAsia="en-GB"/>
              </w:rPr>
              <w:t>Supply Chain</w:t>
            </w:r>
          </w:p>
        </w:tc>
      </w:tr>
      <w:tr w:rsidR="006435D6" w:rsidRPr="006435D6" w:rsidTr="00C11D0E">
        <w:trPr>
          <w:jc w:val="center"/>
        </w:trPr>
        <w:tc>
          <w:tcPr>
            <w:tcW w:w="3811" w:type="dxa"/>
            <w:shd w:val="clear" w:color="auto" w:fill="auto"/>
          </w:tcPr>
          <w:p w:rsidR="00DE1AB0" w:rsidRDefault="00DE1AB0" w:rsidP="006435D6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>Identify local suppliers of items to be included in a basic relied assistance package.</w:t>
            </w:r>
          </w:p>
          <w:p w:rsidR="00C11D0E" w:rsidRPr="00C11D0E" w:rsidRDefault="00C11D0E" w:rsidP="00C11D0E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C11D0E" w:rsidRDefault="00DE1AB0" w:rsidP="00C11D0E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  <w:r w:rsidRPr="006435D6"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  <w:t xml:space="preserve">Identify key logistical requirements to transport relief items </w:t>
            </w:r>
          </w:p>
        </w:tc>
        <w:tc>
          <w:tcPr>
            <w:tcW w:w="3113" w:type="dxa"/>
            <w:gridSpan w:val="9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508" w:type="dxa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867" w:type="dxa"/>
            <w:shd w:val="clear" w:color="auto" w:fill="FFFFFF" w:themeFill="background1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  <w:tc>
          <w:tcPr>
            <w:tcW w:w="1383" w:type="dxa"/>
            <w:gridSpan w:val="2"/>
            <w:shd w:val="clear" w:color="auto" w:fill="auto"/>
          </w:tcPr>
          <w:p w:rsidR="00DE1AB0" w:rsidRPr="006435D6" w:rsidRDefault="00DE1AB0" w:rsidP="006435D6">
            <w:pPr>
              <w:spacing w:after="0" w:line="240" w:lineRule="auto"/>
              <w:rPr>
                <w:rFonts w:ascii="Arial" w:eastAsia="Times New Roman" w:hAnsi="Arial" w:cs="Arial"/>
                <w:color w:val="595959" w:themeColor="text1" w:themeTint="A6"/>
                <w:sz w:val="18"/>
                <w:szCs w:val="18"/>
                <w:lang w:eastAsia="en-GB"/>
              </w:rPr>
            </w:pPr>
          </w:p>
        </w:tc>
      </w:tr>
    </w:tbl>
    <w:p w:rsidR="001D2F15" w:rsidRDefault="001D2F15"/>
    <w:sectPr w:rsidR="001D2F15" w:rsidSect="00F5415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A80" w:rsidRDefault="00B75A80" w:rsidP="008E7D44">
      <w:pPr>
        <w:spacing w:after="0" w:line="240" w:lineRule="auto"/>
      </w:pPr>
      <w:r>
        <w:separator/>
      </w:r>
    </w:p>
  </w:endnote>
  <w:endnote w:type="continuationSeparator" w:id="0">
    <w:p w:rsidR="00B75A80" w:rsidRDefault="00B75A80" w:rsidP="008E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09169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7D44" w:rsidRDefault="008E7D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3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E7D44" w:rsidRDefault="008E7D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A80" w:rsidRDefault="00B75A80" w:rsidP="008E7D44">
      <w:pPr>
        <w:spacing w:after="0" w:line="240" w:lineRule="auto"/>
      </w:pPr>
      <w:r>
        <w:separator/>
      </w:r>
    </w:p>
  </w:footnote>
  <w:footnote w:type="continuationSeparator" w:id="0">
    <w:p w:rsidR="00B75A80" w:rsidRDefault="00B75A80" w:rsidP="008E7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2211B"/>
    <w:multiLevelType w:val="hybridMultilevel"/>
    <w:tmpl w:val="6F14DFB4"/>
    <w:lvl w:ilvl="0" w:tplc="93B61E9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280629B"/>
    <w:multiLevelType w:val="hybridMultilevel"/>
    <w:tmpl w:val="427262EE"/>
    <w:lvl w:ilvl="0" w:tplc="AA3C6CB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F290E9E"/>
    <w:multiLevelType w:val="hybridMultilevel"/>
    <w:tmpl w:val="434C29E4"/>
    <w:lvl w:ilvl="0" w:tplc="3962B1AA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6396798"/>
    <w:multiLevelType w:val="hybridMultilevel"/>
    <w:tmpl w:val="DA4AC3D8"/>
    <w:lvl w:ilvl="0" w:tplc="AA3C6CB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3D214A9"/>
    <w:multiLevelType w:val="hybridMultilevel"/>
    <w:tmpl w:val="95A0A452"/>
    <w:lvl w:ilvl="0" w:tplc="AA3C6CB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7D45B0F"/>
    <w:multiLevelType w:val="hybridMultilevel"/>
    <w:tmpl w:val="5058B67C"/>
    <w:lvl w:ilvl="0" w:tplc="3962B1AA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A2405F"/>
    <w:multiLevelType w:val="hybridMultilevel"/>
    <w:tmpl w:val="96B06CD0"/>
    <w:lvl w:ilvl="0" w:tplc="AA3C6CB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30C3061"/>
    <w:multiLevelType w:val="hybridMultilevel"/>
    <w:tmpl w:val="6DEEB1D2"/>
    <w:lvl w:ilvl="0" w:tplc="AA3C6CB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54B5BC8"/>
    <w:multiLevelType w:val="hybridMultilevel"/>
    <w:tmpl w:val="AB68223E"/>
    <w:lvl w:ilvl="0" w:tplc="E85E261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D653B9C"/>
    <w:multiLevelType w:val="hybridMultilevel"/>
    <w:tmpl w:val="C9C89602"/>
    <w:lvl w:ilvl="0" w:tplc="AA3C6CB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9B50E6B"/>
    <w:multiLevelType w:val="hybridMultilevel"/>
    <w:tmpl w:val="F68262BE"/>
    <w:lvl w:ilvl="0" w:tplc="7264CB0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F07"/>
    <w:rsid w:val="00010097"/>
    <w:rsid w:val="000273A1"/>
    <w:rsid w:val="0004260C"/>
    <w:rsid w:val="000D277E"/>
    <w:rsid w:val="001D2F15"/>
    <w:rsid w:val="002976D1"/>
    <w:rsid w:val="002B5C2B"/>
    <w:rsid w:val="00316F39"/>
    <w:rsid w:val="0033582B"/>
    <w:rsid w:val="00364064"/>
    <w:rsid w:val="003853A3"/>
    <w:rsid w:val="003B1A52"/>
    <w:rsid w:val="006435D6"/>
    <w:rsid w:val="00654F32"/>
    <w:rsid w:val="00677CDA"/>
    <w:rsid w:val="00700B61"/>
    <w:rsid w:val="008174A6"/>
    <w:rsid w:val="008A3436"/>
    <w:rsid w:val="008D362B"/>
    <w:rsid w:val="008E7D44"/>
    <w:rsid w:val="00A37962"/>
    <w:rsid w:val="00A929EB"/>
    <w:rsid w:val="00AF69EC"/>
    <w:rsid w:val="00B122A1"/>
    <w:rsid w:val="00B75A80"/>
    <w:rsid w:val="00BE59C0"/>
    <w:rsid w:val="00C11D0E"/>
    <w:rsid w:val="00C20D54"/>
    <w:rsid w:val="00C65E1B"/>
    <w:rsid w:val="00C97D29"/>
    <w:rsid w:val="00D37428"/>
    <w:rsid w:val="00D4404E"/>
    <w:rsid w:val="00D51F07"/>
    <w:rsid w:val="00D700E6"/>
    <w:rsid w:val="00D90A84"/>
    <w:rsid w:val="00DC316B"/>
    <w:rsid w:val="00DE1AB0"/>
    <w:rsid w:val="00E80F40"/>
    <w:rsid w:val="00EB47C1"/>
    <w:rsid w:val="00F54159"/>
    <w:rsid w:val="00F76FE5"/>
    <w:rsid w:val="00FF1CFC"/>
    <w:rsid w:val="00FF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D44"/>
  </w:style>
  <w:style w:type="paragraph" w:styleId="Footer">
    <w:name w:val="footer"/>
    <w:basedOn w:val="Normal"/>
    <w:link w:val="FooterChar"/>
    <w:uiPriority w:val="99"/>
    <w:unhideWhenUsed/>
    <w:rsid w:val="008E7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D44"/>
  </w:style>
  <w:style w:type="paragraph" w:styleId="ListParagraph">
    <w:name w:val="List Paragraph"/>
    <w:basedOn w:val="Normal"/>
    <w:uiPriority w:val="34"/>
    <w:qFormat/>
    <w:rsid w:val="008E7D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7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D4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260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0426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6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60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D44"/>
  </w:style>
  <w:style w:type="paragraph" w:styleId="Footer">
    <w:name w:val="footer"/>
    <w:basedOn w:val="Normal"/>
    <w:link w:val="FooterChar"/>
    <w:uiPriority w:val="99"/>
    <w:unhideWhenUsed/>
    <w:rsid w:val="008E7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D44"/>
  </w:style>
  <w:style w:type="paragraph" w:styleId="ListParagraph">
    <w:name w:val="List Paragraph"/>
    <w:basedOn w:val="Normal"/>
    <w:uiPriority w:val="34"/>
    <w:qFormat/>
    <w:rsid w:val="008E7D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7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D4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260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0426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6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6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2C303-01E7-41AF-8333-7B301C8A9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OCHA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OCHA</dc:creator>
  <cp:lastModifiedBy>OCHA</cp:lastModifiedBy>
  <cp:revision>13</cp:revision>
  <dcterms:created xsi:type="dcterms:W3CDTF">2014-12-09T13:31:00Z</dcterms:created>
  <dcterms:modified xsi:type="dcterms:W3CDTF">2014-12-09T14:55:00Z</dcterms:modified>
</cp:coreProperties>
</file>